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D0" w:rsidRPr="00E50F91" w:rsidRDefault="00642195" w:rsidP="00061BDD">
      <w:pPr>
        <w:jc w:val="center"/>
        <w:rPr>
          <w:b/>
          <w:sz w:val="24"/>
          <w:szCs w:val="24"/>
          <w:lang w:val="en-US"/>
        </w:rPr>
      </w:pPr>
      <w:r w:rsidRPr="00E50F91">
        <w:rPr>
          <w:b/>
          <w:sz w:val="24"/>
          <w:szCs w:val="24"/>
        </w:rPr>
        <w:t>ПРОТОКОЛ</w:t>
      </w:r>
      <w:r w:rsidR="005435D0" w:rsidRPr="00E50F91">
        <w:rPr>
          <w:b/>
          <w:sz w:val="24"/>
          <w:szCs w:val="24"/>
        </w:rPr>
        <w:t xml:space="preserve"> ОТ СРЕЩА НА СЪВЕТА ЗА ЕЛЕКТРИЧЕСКА МОБИЛНОСТ </w:t>
      </w:r>
      <w:r w:rsidR="005435D0" w:rsidRPr="00E50F91">
        <w:rPr>
          <w:b/>
          <w:sz w:val="24"/>
          <w:szCs w:val="24"/>
          <w:lang w:val="en-US"/>
        </w:rPr>
        <w:t>(</w:t>
      </w:r>
      <w:r w:rsidR="005435D0" w:rsidRPr="00E50F91">
        <w:rPr>
          <w:b/>
          <w:sz w:val="24"/>
          <w:szCs w:val="24"/>
        </w:rPr>
        <w:t>ССЕМ</w:t>
      </w:r>
      <w:r w:rsidR="005435D0" w:rsidRPr="00E50F91">
        <w:rPr>
          <w:b/>
          <w:sz w:val="24"/>
          <w:szCs w:val="24"/>
          <w:lang w:val="en-US"/>
        </w:rPr>
        <w:t>)</w:t>
      </w:r>
    </w:p>
    <w:p w:rsidR="005435D0" w:rsidRPr="00E50F91" w:rsidRDefault="00D90E4F" w:rsidP="00061BDD">
      <w:pPr>
        <w:jc w:val="center"/>
        <w:rPr>
          <w:sz w:val="24"/>
          <w:szCs w:val="24"/>
        </w:rPr>
      </w:pPr>
      <w:r w:rsidRPr="00E50F91">
        <w:rPr>
          <w:sz w:val="24"/>
          <w:szCs w:val="24"/>
        </w:rPr>
        <w:t xml:space="preserve">Проведена на </w:t>
      </w:r>
      <w:r w:rsidR="00133848" w:rsidRPr="00E50F91">
        <w:rPr>
          <w:sz w:val="24"/>
          <w:szCs w:val="24"/>
        </w:rPr>
        <w:t>17.07.2019, 10:00 – 12:00 ч., МОН, зала 2, ет. 7</w:t>
      </w:r>
    </w:p>
    <w:p w:rsidR="00E50F91" w:rsidRDefault="008512AE" w:rsidP="00E50F91">
      <w:pPr>
        <w:ind w:firstLine="360"/>
        <w:jc w:val="both"/>
        <w:rPr>
          <w:rFonts w:cs="Times New Roman"/>
          <w:sz w:val="24"/>
          <w:szCs w:val="24"/>
        </w:rPr>
      </w:pPr>
      <w:r w:rsidRPr="00E50F91">
        <w:rPr>
          <w:rFonts w:cs="Times New Roman"/>
          <w:sz w:val="24"/>
          <w:szCs w:val="24"/>
        </w:rPr>
        <w:t>Срещата беше официално открита от заместник-министър Таня Михайлова</w:t>
      </w:r>
      <w:r w:rsidR="00C40098" w:rsidRPr="00E50F91">
        <w:rPr>
          <w:rFonts w:cs="Times New Roman"/>
          <w:sz w:val="24"/>
          <w:szCs w:val="24"/>
        </w:rPr>
        <w:t xml:space="preserve">  - </w:t>
      </w:r>
      <w:r w:rsidRPr="00E50F91">
        <w:rPr>
          <w:rFonts w:cs="Times New Roman"/>
          <w:sz w:val="24"/>
          <w:szCs w:val="24"/>
        </w:rPr>
        <w:t xml:space="preserve"> ръководител на Секторния съвет за електрическа мобилност от страна на МОН. </w:t>
      </w:r>
      <w:r w:rsidR="00C40098" w:rsidRPr="00E50F91">
        <w:rPr>
          <w:rFonts w:cs="Times New Roman"/>
          <w:sz w:val="24"/>
          <w:szCs w:val="24"/>
        </w:rPr>
        <w:t>Участници в срещата бяха</w:t>
      </w:r>
      <w:r w:rsidRPr="00E50F91">
        <w:rPr>
          <w:rFonts w:cs="Times New Roman"/>
          <w:sz w:val="24"/>
          <w:szCs w:val="24"/>
        </w:rPr>
        <w:t xml:space="preserve"> представители на МОН, професионални гимназии, Висши училища, НАПОО, Българска стопанска камара, Джуниър Ачийвмънт</w:t>
      </w:r>
      <w:r w:rsidR="00C40098" w:rsidRPr="00E50F91">
        <w:rPr>
          <w:rFonts w:cs="Times New Roman"/>
          <w:sz w:val="24"/>
          <w:szCs w:val="24"/>
        </w:rPr>
        <w:t xml:space="preserve">, Българско ядрено дружество, АЕЦ „Козлодуй“ </w:t>
      </w:r>
      <w:r w:rsidR="00D90E4F" w:rsidRPr="00E50F91">
        <w:rPr>
          <w:rFonts w:cs="Times New Roman"/>
          <w:sz w:val="24"/>
          <w:szCs w:val="24"/>
        </w:rPr>
        <w:t xml:space="preserve"> </w:t>
      </w:r>
      <w:r w:rsidR="00D90E4F" w:rsidRPr="00E50F91">
        <w:rPr>
          <w:rFonts w:cs="Times New Roman"/>
          <w:sz w:val="24"/>
          <w:szCs w:val="24"/>
          <w:lang w:val="en-US"/>
        </w:rPr>
        <w:t>(</w:t>
      </w:r>
      <w:r w:rsidR="00D90E4F" w:rsidRPr="00E50F91">
        <w:rPr>
          <w:rFonts w:cs="Times New Roman"/>
          <w:sz w:val="24"/>
          <w:szCs w:val="24"/>
        </w:rPr>
        <w:t xml:space="preserve">Приложение </w:t>
      </w:r>
      <w:r w:rsidR="00764813" w:rsidRPr="00E50F91">
        <w:rPr>
          <w:rFonts w:cs="Times New Roman"/>
          <w:sz w:val="24"/>
          <w:szCs w:val="24"/>
        </w:rPr>
        <w:t>1</w:t>
      </w:r>
      <w:r w:rsidR="00D90E4F" w:rsidRPr="00E50F91">
        <w:rPr>
          <w:rFonts w:cs="Times New Roman"/>
          <w:sz w:val="24"/>
          <w:szCs w:val="24"/>
        </w:rPr>
        <w:t xml:space="preserve"> – присъствен списък</w:t>
      </w:r>
      <w:r w:rsidR="00D90E4F" w:rsidRPr="00E50F91">
        <w:rPr>
          <w:rFonts w:cs="Times New Roman"/>
          <w:sz w:val="24"/>
          <w:szCs w:val="24"/>
          <w:lang w:val="en-US"/>
        </w:rPr>
        <w:t>)</w:t>
      </w:r>
      <w:r w:rsidRPr="00E50F91">
        <w:rPr>
          <w:rFonts w:cs="Times New Roman"/>
          <w:sz w:val="24"/>
          <w:szCs w:val="24"/>
        </w:rPr>
        <w:t>.</w:t>
      </w:r>
      <w:r w:rsidR="00E50F91" w:rsidRPr="00E50F91">
        <w:rPr>
          <w:rFonts w:cs="Times New Roman"/>
          <w:sz w:val="24"/>
          <w:szCs w:val="24"/>
        </w:rPr>
        <w:t xml:space="preserve"> </w:t>
      </w:r>
    </w:p>
    <w:p w:rsidR="00E50F91" w:rsidRDefault="00E50F91" w:rsidP="00E50F91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Последва представяне на екипа от Българското ядрено дружество и представителя на АЕЦ „Козлодуй“. </w:t>
      </w:r>
    </w:p>
    <w:p w:rsidR="00E50F91" w:rsidRDefault="00E50F91" w:rsidP="00E50F91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Като встъпление към срещата, председателят на ССЕМ от страна на ИКЕМ – Илия </w:t>
      </w:r>
      <w:proofErr w:type="spellStart"/>
      <w:r>
        <w:rPr>
          <w:rFonts w:cs="Times New Roman"/>
          <w:sz w:val="24"/>
          <w:szCs w:val="24"/>
        </w:rPr>
        <w:t>Левков</w:t>
      </w:r>
      <w:proofErr w:type="spellEnd"/>
      <w:r>
        <w:rPr>
          <w:rFonts w:cs="Times New Roman"/>
          <w:sz w:val="24"/>
          <w:szCs w:val="24"/>
        </w:rPr>
        <w:t>, направи предложение за включване на експерти от Регионалните управления на образованието в следващи срещи, за да бъдат информирани за дейностите на Съвета. В този контекст координаторът на ССЕМ от страна на ИКЕМ – Иван Костов, допълни, че е необходимо моделът на ССЕМ по-активно да се популяризира от МОН.</w:t>
      </w:r>
    </w:p>
    <w:p w:rsidR="00E50F91" w:rsidRDefault="00E50F91" w:rsidP="00E50F91">
      <w:pPr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Последва преминаване към дневния ред:</w:t>
      </w:r>
    </w:p>
    <w:p w:rsidR="00E50F91" w:rsidRPr="00E50F91" w:rsidRDefault="00E50F91" w:rsidP="00E50F91">
      <w:pPr>
        <w:pStyle w:val="a4"/>
        <w:spacing w:before="0" w:beforeAutospacing="0" w:after="0" w:afterAutospacing="0"/>
        <w:jc w:val="both"/>
        <w:rPr>
          <w:rFonts w:asciiTheme="minorHAnsi" w:hAnsiTheme="minorHAnsi"/>
          <w:lang w:val="en-US"/>
        </w:rPr>
      </w:pPr>
      <w:r w:rsidRPr="00E50F91">
        <w:rPr>
          <w:rFonts w:asciiTheme="minorHAnsi" w:hAnsiTheme="minorHAnsi"/>
        </w:rPr>
        <w:t>1. Отчет на членовете по планираните дейности</w:t>
      </w:r>
      <w:r w:rsidRPr="00E50F91">
        <w:rPr>
          <w:rFonts w:asciiTheme="minorHAnsi" w:hAnsiTheme="minorHAnsi"/>
          <w:lang w:val="en-US"/>
        </w:rPr>
        <w:t>;</w:t>
      </w:r>
    </w:p>
    <w:p w:rsidR="00E50F91" w:rsidRPr="00E50F91" w:rsidRDefault="00E50F91" w:rsidP="00E50F91">
      <w:pPr>
        <w:pStyle w:val="a4"/>
        <w:spacing w:before="0" w:beforeAutospacing="0" w:after="0" w:afterAutospacing="0"/>
        <w:jc w:val="both"/>
        <w:rPr>
          <w:rFonts w:asciiTheme="minorHAnsi" w:hAnsiTheme="minorHAnsi"/>
          <w:lang w:val="en-US"/>
        </w:rPr>
      </w:pPr>
      <w:r w:rsidRPr="00E50F91">
        <w:rPr>
          <w:rFonts w:asciiTheme="minorHAnsi" w:hAnsiTheme="minorHAnsi"/>
        </w:rPr>
        <w:t>2. Гласуване на предложение на Българско ядрено дружество</w:t>
      </w:r>
      <w:r w:rsidRPr="00E50F91">
        <w:rPr>
          <w:rFonts w:asciiTheme="minorHAnsi" w:hAnsiTheme="minorHAnsi"/>
          <w:lang w:val="en-US"/>
        </w:rPr>
        <w:t>;</w:t>
      </w:r>
    </w:p>
    <w:p w:rsidR="00E50F91" w:rsidRPr="00E50F91" w:rsidRDefault="00E50F91" w:rsidP="00E50F91">
      <w:pPr>
        <w:pStyle w:val="a4"/>
        <w:spacing w:before="0" w:beforeAutospacing="0" w:after="0" w:afterAutospacing="0"/>
        <w:jc w:val="both"/>
        <w:rPr>
          <w:rFonts w:asciiTheme="minorHAnsi" w:hAnsiTheme="minorHAnsi"/>
        </w:rPr>
      </w:pPr>
      <w:r w:rsidRPr="00E50F91">
        <w:rPr>
          <w:rFonts w:asciiTheme="minorHAnsi" w:hAnsiTheme="minorHAnsi"/>
        </w:rPr>
        <w:t>3. Дискусия и информация за текущи и предстоящи инициативи;</w:t>
      </w:r>
    </w:p>
    <w:p w:rsidR="00E50F91" w:rsidRPr="00E50F91" w:rsidRDefault="00E50F91" w:rsidP="00E50F91">
      <w:pPr>
        <w:spacing w:after="0"/>
        <w:jc w:val="both"/>
        <w:rPr>
          <w:rFonts w:cs="Times New Roman"/>
          <w:sz w:val="24"/>
          <w:szCs w:val="24"/>
        </w:rPr>
      </w:pPr>
      <w:r w:rsidRPr="00E50F91">
        <w:rPr>
          <w:rFonts w:cs="Times New Roman"/>
          <w:sz w:val="24"/>
          <w:szCs w:val="24"/>
        </w:rPr>
        <w:t>4. Планиране на дейностите за следващия период.</w:t>
      </w:r>
    </w:p>
    <w:p w:rsidR="009B4BCD" w:rsidRDefault="009B4BCD" w:rsidP="00E50F91">
      <w:pPr>
        <w:jc w:val="both"/>
        <w:rPr>
          <w:sz w:val="24"/>
          <w:szCs w:val="24"/>
        </w:rPr>
      </w:pPr>
    </w:p>
    <w:p w:rsidR="00E50F91" w:rsidRDefault="00E50F91" w:rsidP="00E50F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По т. 1 от дневния ред </w:t>
      </w:r>
      <w:r w:rsidR="002A3D21">
        <w:rPr>
          <w:sz w:val="24"/>
          <w:szCs w:val="24"/>
        </w:rPr>
        <w:t>последва представяне на изпълнението по планираните дейности:</w:t>
      </w:r>
    </w:p>
    <w:p w:rsidR="002A3D21" w:rsidRPr="002A3D21" w:rsidRDefault="002A3D21" w:rsidP="002A3D2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2A3D21">
        <w:rPr>
          <w:sz w:val="24"/>
          <w:szCs w:val="24"/>
        </w:rPr>
        <w:t>М.Никифорова, НАПОО – ДОС за техник на транспортна техника е в процедура на разработване.</w:t>
      </w:r>
    </w:p>
    <w:p w:rsidR="002A3D21" w:rsidRPr="002A3D21" w:rsidRDefault="002A3D21" w:rsidP="00E50F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предложение на И. Костов и със съгласие от страна на С. Маноилов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„Джуниър Ачийвмънт“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да се разгледа и при необходимост да се допълни с ЕРУ разработваният ДОС с разширяване на обхвата на предприемаческите умения.</w:t>
      </w:r>
    </w:p>
    <w:p w:rsidR="00E50F91" w:rsidRDefault="002A3D21" w:rsidP="002A3D2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Маноилов напомни за изпратената към ССЕМ покана за безплатни обучения на учители по програма „Учебна компания“, които „Джуниър Ачийвмънт“ </w:t>
      </w:r>
      <w:r w:rsidR="007C5414">
        <w:rPr>
          <w:sz w:val="24"/>
          <w:szCs w:val="24"/>
        </w:rPr>
        <w:t xml:space="preserve">организира и уточни, че към момента няма заявен интерес от страна на гимназиите – членове на ССЕМ. Беше уточнено </w:t>
      </w:r>
      <w:r w:rsidR="00690D77" w:rsidRPr="00D83B60">
        <w:rPr>
          <w:sz w:val="24"/>
          <w:szCs w:val="24"/>
        </w:rPr>
        <w:t xml:space="preserve">и взето решение </w:t>
      </w:r>
      <w:r w:rsidR="007C5414">
        <w:rPr>
          <w:sz w:val="24"/>
          <w:szCs w:val="24"/>
        </w:rPr>
        <w:t>да се изпрати отново напомняне с поканата и програмата за обучение.</w:t>
      </w:r>
    </w:p>
    <w:p w:rsidR="007C5414" w:rsidRDefault="007C5414" w:rsidP="002A3D2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Д.Станчева – директор на ПГТАТ „Н.Вапцаров“, Хасково</w:t>
      </w:r>
      <w:r w:rsidR="009B4BCD">
        <w:rPr>
          <w:sz w:val="24"/>
          <w:szCs w:val="24"/>
        </w:rPr>
        <w:t>,</w:t>
      </w:r>
      <w:r>
        <w:rPr>
          <w:sz w:val="24"/>
          <w:szCs w:val="24"/>
        </w:rPr>
        <w:t xml:space="preserve"> обясни, че кампанията, свързана с план-приема </w:t>
      </w:r>
      <w:r w:rsidR="00690D77" w:rsidRPr="00D83B60">
        <w:rPr>
          <w:sz w:val="24"/>
          <w:szCs w:val="24"/>
        </w:rPr>
        <w:t>е</w:t>
      </w:r>
      <w:r w:rsidR="00690D7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организирана успешно, има интерес към специалността „Електрически превозни средства“, професия „Монтьор на транспортна техника“. Представители на екипа на гимназията ще бъдат включени в разработването на учебни програми.</w:t>
      </w:r>
    </w:p>
    <w:p w:rsidR="007C5414" w:rsidRDefault="007C5414" w:rsidP="00FA64CC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A64CC">
        <w:rPr>
          <w:sz w:val="24"/>
          <w:szCs w:val="24"/>
        </w:rPr>
        <w:lastRenderedPageBreak/>
        <w:t>М.</w:t>
      </w:r>
      <w:r w:rsidR="009B4BCD">
        <w:rPr>
          <w:sz w:val="24"/>
          <w:szCs w:val="24"/>
        </w:rPr>
        <w:t xml:space="preserve"> </w:t>
      </w:r>
      <w:r w:rsidRPr="00FA64CC">
        <w:rPr>
          <w:sz w:val="24"/>
          <w:szCs w:val="24"/>
        </w:rPr>
        <w:t>Гатева, МОН, представи резултатите от кандидатстването на професионалните гимназии – членове на ССЕМ</w:t>
      </w:r>
      <w:r w:rsidR="00690D77">
        <w:rPr>
          <w:sz w:val="24"/>
          <w:szCs w:val="24"/>
        </w:rPr>
        <w:t>,</w:t>
      </w:r>
      <w:r w:rsidRPr="00FA64CC">
        <w:rPr>
          <w:sz w:val="24"/>
          <w:szCs w:val="24"/>
        </w:rPr>
        <w:t xml:space="preserve"> с проекти за подобряване на материално-техническата база по Национална програма „Съвременна образователна среда“, Модул „Модернизация на ПОО“, Дейност 1 – Подобряване на материално-техническата база</w:t>
      </w:r>
      <w:r w:rsidR="00FA64CC" w:rsidRPr="00FA64CC">
        <w:rPr>
          <w:sz w:val="24"/>
          <w:szCs w:val="24"/>
        </w:rPr>
        <w:t xml:space="preserve"> </w:t>
      </w:r>
      <w:r w:rsidR="00FA64CC" w:rsidRPr="00FA64CC">
        <w:rPr>
          <w:sz w:val="24"/>
          <w:szCs w:val="24"/>
          <w:lang w:val="en-US"/>
        </w:rPr>
        <w:t>(</w:t>
      </w:r>
      <w:r w:rsidR="00FA64CC" w:rsidRPr="00FA64CC">
        <w:rPr>
          <w:sz w:val="24"/>
          <w:szCs w:val="24"/>
        </w:rPr>
        <w:t>МТБ</w:t>
      </w:r>
      <w:r w:rsidR="00FA64CC" w:rsidRPr="00FA64CC">
        <w:rPr>
          <w:sz w:val="24"/>
          <w:szCs w:val="24"/>
          <w:lang w:val="en-US"/>
        </w:rPr>
        <w:t>)</w:t>
      </w:r>
      <w:r w:rsidRPr="00FA64CC">
        <w:rPr>
          <w:sz w:val="24"/>
          <w:szCs w:val="24"/>
        </w:rPr>
        <w:t xml:space="preserve">. </w:t>
      </w:r>
      <w:r w:rsidR="00FA64CC" w:rsidRPr="00FA64CC">
        <w:rPr>
          <w:sz w:val="24"/>
          <w:szCs w:val="24"/>
        </w:rPr>
        <w:t xml:space="preserve"> </w:t>
      </w:r>
      <w:r w:rsidRPr="00FA64CC">
        <w:rPr>
          <w:sz w:val="24"/>
          <w:szCs w:val="24"/>
        </w:rPr>
        <w:t xml:space="preserve">Т.Стойчев – директор на ПГТЕ „Х.Форд“ предложи в следващата рамка на Национална програма да се помисли за разделяне на два модула –  1. за училища, които  </w:t>
      </w:r>
      <w:r w:rsidR="00FA64CC" w:rsidRPr="00FA64CC">
        <w:rPr>
          <w:sz w:val="24"/>
          <w:szCs w:val="24"/>
        </w:rPr>
        <w:t xml:space="preserve">кандидатстват с проекти за МТБ </w:t>
      </w:r>
      <w:r w:rsidRPr="00FA64CC">
        <w:rPr>
          <w:sz w:val="24"/>
          <w:szCs w:val="24"/>
        </w:rPr>
        <w:t>по нов</w:t>
      </w:r>
      <w:r w:rsidR="00FA64CC" w:rsidRPr="00FA64CC">
        <w:rPr>
          <w:sz w:val="24"/>
          <w:szCs w:val="24"/>
        </w:rPr>
        <w:t>и</w:t>
      </w:r>
      <w:r w:rsidRPr="00FA64CC">
        <w:rPr>
          <w:sz w:val="24"/>
          <w:szCs w:val="24"/>
        </w:rPr>
        <w:t xml:space="preserve"> специалност</w:t>
      </w:r>
      <w:r w:rsidR="00FA64CC" w:rsidRPr="00FA64CC">
        <w:rPr>
          <w:sz w:val="24"/>
          <w:szCs w:val="24"/>
        </w:rPr>
        <w:t>и</w:t>
      </w:r>
      <w:r w:rsidRPr="00FA64CC">
        <w:rPr>
          <w:sz w:val="24"/>
          <w:szCs w:val="24"/>
        </w:rPr>
        <w:t xml:space="preserve">  и 2. за училища, които </w:t>
      </w:r>
      <w:r w:rsidR="00FA64CC" w:rsidRPr="00FA64CC">
        <w:rPr>
          <w:sz w:val="24"/>
          <w:szCs w:val="24"/>
        </w:rPr>
        <w:t>кандидатстват за подобрение на МТБ за специалности, по които вече се провежда обучение</w:t>
      </w:r>
      <w:r w:rsidR="00FA64CC">
        <w:rPr>
          <w:sz w:val="24"/>
          <w:szCs w:val="24"/>
        </w:rPr>
        <w:t>.</w:t>
      </w:r>
    </w:p>
    <w:p w:rsidR="00FA64CC" w:rsidRDefault="00FA64CC" w:rsidP="00FA64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Заместник-министър Т.</w:t>
      </w:r>
      <w:r w:rsidR="00690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Михайлова уточни, че възможностите за училища с нови специалности следва да бъдат ясно описани в критериите за оценка на проектни предложения в Националната програма. По отношение на учебните помагала и обучението на учители, М. Гатева представи накратко предвидените дейности по проект по ОП НОИР „Подкрепа за </w:t>
      </w:r>
      <w:proofErr w:type="spellStart"/>
      <w:r>
        <w:rPr>
          <w:sz w:val="24"/>
          <w:szCs w:val="24"/>
        </w:rPr>
        <w:t>дуалната</w:t>
      </w:r>
      <w:proofErr w:type="spellEnd"/>
      <w:r>
        <w:rPr>
          <w:sz w:val="24"/>
          <w:szCs w:val="24"/>
        </w:rPr>
        <w:t xml:space="preserve"> система за обучение“. Уточни, че информация може да бъде предоставена, когато се утвърдят насоките за кандидатстване.</w:t>
      </w:r>
    </w:p>
    <w:p w:rsidR="00E50F91" w:rsidRPr="00D83B60" w:rsidRDefault="00FA64CC" w:rsidP="00E50F9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83B60">
        <w:rPr>
          <w:sz w:val="24"/>
          <w:szCs w:val="24"/>
        </w:rPr>
        <w:t xml:space="preserve">А. Кацарова, БСК – ЦПО ще извършват обучение по специалностите „Електрически превозни средства“ в професиите „Техник на транспортна техника“ и „Монтьор на транспортна техника“, вкл. и по част от професия, като ще използват и проектите на социалните партньори по НПДЗ. </w:t>
      </w:r>
      <w:r w:rsidR="00690D77" w:rsidRPr="00D83B60">
        <w:rPr>
          <w:sz w:val="24"/>
          <w:szCs w:val="24"/>
        </w:rPr>
        <w:t>ЦПО към БСК планира да измени лицензията си с добавяне на професиите „Техник на транспортна техника“ и „Монтьор на транспортна техника“, специалност „Електрически превозни средства“, за да може да провежда обучения по посочената специалност.</w:t>
      </w:r>
    </w:p>
    <w:p w:rsidR="00DE51B2" w:rsidRPr="00FA64CC" w:rsidRDefault="00DE51B2" w:rsidP="00DE51B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Ч. Здравков, експерт в МОН, предложи да се обмени опит между гимназиите, включени в ССЕМ</w:t>
      </w:r>
      <w:r w:rsidR="00690D77">
        <w:rPr>
          <w:sz w:val="24"/>
          <w:szCs w:val="24"/>
        </w:rPr>
        <w:t>,</w:t>
      </w:r>
      <w:r>
        <w:rPr>
          <w:sz w:val="24"/>
          <w:szCs w:val="24"/>
        </w:rPr>
        <w:t xml:space="preserve"> по отношение на разширената подготовка в училищните учебни планове и да се стандартизират изискванията за МТБ при всички училища, които обучават или ще обучават по специалност „Електрически превозни средства“. Д. Стоянов, БЯД, предложи към разширената подготовка да се добавят предмети като киберсигурност и предприемачество</w:t>
      </w:r>
      <w:r w:rsidR="00740EF6">
        <w:rPr>
          <w:sz w:val="24"/>
          <w:szCs w:val="24"/>
        </w:rPr>
        <w:t xml:space="preserve"> и добави, че дейностите на ССЕМ следва да се популяризират и в </w:t>
      </w:r>
      <w:r w:rsidR="00740EF6">
        <w:rPr>
          <w:sz w:val="24"/>
          <w:szCs w:val="24"/>
          <w:lang w:val="en-US"/>
        </w:rPr>
        <w:t xml:space="preserve">STEM </w:t>
      </w:r>
      <w:r w:rsidR="00740EF6">
        <w:rPr>
          <w:sz w:val="24"/>
          <w:szCs w:val="24"/>
        </w:rPr>
        <w:t>платформата.</w:t>
      </w:r>
    </w:p>
    <w:p w:rsidR="00FA64CC" w:rsidRDefault="009050FA" w:rsidP="00E50F9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Костов, ИКЕМ по отношение на подготвения проект към </w:t>
      </w:r>
      <w:r>
        <w:rPr>
          <w:sz w:val="24"/>
          <w:szCs w:val="24"/>
          <w:lang w:val="en-US"/>
        </w:rPr>
        <w:t xml:space="preserve">European Investment Advisory Hub </w:t>
      </w:r>
      <w:r>
        <w:rPr>
          <w:sz w:val="24"/>
          <w:szCs w:val="24"/>
        </w:rPr>
        <w:t xml:space="preserve">уточни, че очакват проект на Рамково споразумение, който ще предоставят в МОН. Последва кратко представяне на </w:t>
      </w:r>
      <w:r w:rsidR="00DE51B2">
        <w:rPr>
          <w:sz w:val="24"/>
          <w:szCs w:val="24"/>
        </w:rPr>
        <w:t>предложението за комуникационни подходи и форми</w:t>
      </w:r>
      <w:r>
        <w:rPr>
          <w:sz w:val="24"/>
          <w:szCs w:val="24"/>
        </w:rPr>
        <w:t>, предварително изпратен</w:t>
      </w:r>
      <w:r w:rsidR="00DE51B2">
        <w:rPr>
          <w:sz w:val="24"/>
          <w:szCs w:val="24"/>
        </w:rPr>
        <w:t>о</w:t>
      </w:r>
      <w:r>
        <w:rPr>
          <w:sz w:val="24"/>
          <w:szCs w:val="24"/>
        </w:rPr>
        <w:t xml:space="preserve"> на членовете на ССЕМ.</w:t>
      </w:r>
    </w:p>
    <w:p w:rsidR="00640015" w:rsidRDefault="00740EF6" w:rsidP="00740EF6">
      <w:pPr>
        <w:ind w:firstLine="360"/>
        <w:jc w:val="both"/>
      </w:pPr>
      <w:r>
        <w:t xml:space="preserve">По  т. 2 от дневния ред последва представяне от страна на М. Митев – председател на Българското ядрено дружество </w:t>
      </w:r>
      <w:r>
        <w:rPr>
          <w:lang w:val="en-US"/>
        </w:rPr>
        <w:t>(</w:t>
      </w:r>
      <w:r>
        <w:t>БЯД</w:t>
      </w:r>
      <w:r>
        <w:rPr>
          <w:lang w:val="en-US"/>
        </w:rPr>
        <w:t>)</w:t>
      </w:r>
      <w:r>
        <w:t xml:space="preserve">, С.Петрова – АЕЦ „Козлодуй“ и Д. Стоянов – БЯД, които обосноваха необходимостта от включването в по-широкия партньорски формат на ССЕМ с оглед по-ефективно достигане до образователните институции и бизнеса в сектор „Енергетика“ и в частност ядрена енергетика, киберсигурност и електромобили. Обявиха, че през месец </w:t>
      </w:r>
      <w:r>
        <w:lastRenderedPageBreak/>
        <w:t xml:space="preserve">септември 2019 , АЕЦ „Козлодуй“ в партньорство с БЯД организира събития за популяризиране </w:t>
      </w:r>
      <w:r w:rsidR="00A8504E">
        <w:t>на възможностите за учещите, на които ще бъдат поканени и членовете на ССЕМ.</w:t>
      </w:r>
    </w:p>
    <w:p w:rsidR="00A8504E" w:rsidRDefault="00A8504E" w:rsidP="00740EF6">
      <w:pPr>
        <w:ind w:firstLine="360"/>
        <w:jc w:val="both"/>
      </w:pPr>
      <w:r>
        <w:t xml:space="preserve">Стефка Петрова, АЕЦ „Козлодуй“, беше определена за контактно лице при комуникацията по темите в енергетиката и в частност – ядрената енергетика. </w:t>
      </w:r>
    </w:p>
    <w:p w:rsidR="00A8504E" w:rsidRDefault="00A8504E" w:rsidP="00740EF6">
      <w:pPr>
        <w:ind w:firstLine="360"/>
        <w:jc w:val="both"/>
      </w:pPr>
      <w:r>
        <w:t>Заместник-министър Т.</w:t>
      </w:r>
      <w:r w:rsidR="00690D77">
        <w:t xml:space="preserve"> </w:t>
      </w:r>
      <w:r>
        <w:t>Михайлова уточни, че е добре да се организира среща в Козлодуй с представители на РУО от областите Враца и Плевен и с участието на директори на РГ, включени в ССЕМ.</w:t>
      </w:r>
    </w:p>
    <w:p w:rsidR="00A8504E" w:rsidRDefault="00A8504E" w:rsidP="00740EF6">
      <w:pPr>
        <w:ind w:firstLine="360"/>
        <w:jc w:val="both"/>
      </w:pPr>
      <w:r>
        <w:t>По т. 3 от дневния ред:</w:t>
      </w:r>
    </w:p>
    <w:p w:rsidR="00A8504E" w:rsidRDefault="00A8504E" w:rsidP="00740EF6">
      <w:pPr>
        <w:ind w:firstLine="360"/>
        <w:jc w:val="both"/>
      </w:pPr>
      <w:r>
        <w:t>Ч. Здравков, експерт МОН, представи лабораторни модули, които включително се използват в европейски състезания и може да се използват и от българските професионални гимназии. Последва дискусия за стандартизиране на изискванията за МТБ за обучение в специалност „Електрически превозни средства“ като минимум оборудване и стандартизиране на изискванията чрез ССЕМ.</w:t>
      </w:r>
    </w:p>
    <w:p w:rsidR="00A8504E" w:rsidRDefault="00A8504E" w:rsidP="00740EF6">
      <w:pPr>
        <w:ind w:firstLine="360"/>
        <w:jc w:val="both"/>
      </w:pPr>
      <w:r>
        <w:t>Заместник-министър Т.</w:t>
      </w:r>
      <w:r w:rsidR="00690D77">
        <w:t xml:space="preserve"> </w:t>
      </w:r>
      <w:r>
        <w:t>Михайлова акцентира на важността на своевременните и проактивни действия на работодателските организации по време на организиран</w:t>
      </w:r>
      <w:r w:rsidR="005D5413">
        <w:t>ето на бъдещия план-прием, като стандартизираните изисквания по отношение на условията за обучаване по специалността следва да се включат още на етап съгласуване на план-приема с представителите на национално-представителните организации на работодателите – напр. БСК, на която са член ИКЕМ. Открои важността на организиране на срещи с директорите на ПГ – членове на ССЕМ и участието на ИКЕМ в срещата с експертите по ПОО в РУО, която ще се проведе през месец септември 2019.</w:t>
      </w:r>
    </w:p>
    <w:p w:rsidR="005D5413" w:rsidRDefault="005D5413" w:rsidP="00740EF6">
      <w:pPr>
        <w:ind w:firstLine="360"/>
        <w:jc w:val="both"/>
      </w:pPr>
      <w:r>
        <w:t>По т. 4. – предложенията за бъдещи дейности бяха</w:t>
      </w:r>
      <w:r w:rsidR="00252B0F">
        <w:t xml:space="preserve"> направени в дискусионен режим </w:t>
      </w:r>
      <w:r>
        <w:t>в предходните точки от дневния ред.</w:t>
      </w:r>
    </w:p>
    <w:p w:rsidR="005D5413" w:rsidRDefault="005D5413" w:rsidP="00740EF6">
      <w:pPr>
        <w:ind w:firstLine="360"/>
        <w:jc w:val="both"/>
      </w:pPr>
      <w:r>
        <w:t>Решения:</w:t>
      </w:r>
    </w:p>
    <w:p w:rsidR="00AD1478" w:rsidRDefault="00AD1478" w:rsidP="005D5413">
      <w:pPr>
        <w:pStyle w:val="a3"/>
        <w:numPr>
          <w:ilvl w:val="0"/>
          <w:numId w:val="7"/>
        </w:numPr>
        <w:jc w:val="both"/>
      </w:pPr>
      <w:r>
        <w:t>Включване на тематично направление „Ядрена енергетика“ в ССЕМ</w:t>
      </w:r>
    </w:p>
    <w:p w:rsidR="005D5413" w:rsidRDefault="005D5413" w:rsidP="005D5413">
      <w:pPr>
        <w:pStyle w:val="a3"/>
        <w:numPr>
          <w:ilvl w:val="0"/>
          <w:numId w:val="7"/>
        </w:numPr>
        <w:jc w:val="both"/>
      </w:pPr>
      <w:r>
        <w:t>Организиране на среща в Козлодуй с участието на МОН, ИКЕМ,  директори на ПГ – членове на ССЕМ, РУО Враца и РУО Плевен;</w:t>
      </w:r>
    </w:p>
    <w:p w:rsidR="005D5413" w:rsidRDefault="005D5413" w:rsidP="005D5413">
      <w:pPr>
        <w:pStyle w:val="a3"/>
        <w:numPr>
          <w:ilvl w:val="0"/>
          <w:numId w:val="7"/>
        </w:numPr>
        <w:jc w:val="both"/>
      </w:pPr>
      <w:r>
        <w:t>Участие на ИКЕМ на редовната среща с експертите по ПОО в РУО – за представяне на модела ССЕМ;</w:t>
      </w:r>
    </w:p>
    <w:p w:rsidR="005D5413" w:rsidRDefault="005D5413" w:rsidP="005D5413">
      <w:pPr>
        <w:pStyle w:val="a3"/>
        <w:numPr>
          <w:ilvl w:val="0"/>
          <w:numId w:val="7"/>
        </w:numPr>
        <w:jc w:val="both"/>
      </w:pPr>
      <w:r>
        <w:t>Популяризиране на модела ССЕМ от страна на членовете му във всички подходящи събития и чрез всички подходящи комуникационни канали;</w:t>
      </w:r>
    </w:p>
    <w:p w:rsidR="005D5413" w:rsidRDefault="005D5413" w:rsidP="005D5413">
      <w:pPr>
        <w:pStyle w:val="a3"/>
        <w:numPr>
          <w:ilvl w:val="0"/>
          <w:numId w:val="7"/>
        </w:numPr>
        <w:jc w:val="both"/>
      </w:pPr>
      <w:r>
        <w:t>Използване на средствата и формите за комуникация, предложени от ИКЕМ – вкл. споделен календар, общ имейл и фейсбук профил – затворена група само за членовете на ССЕМ и публичен профил за всички интересуващи се потребители.</w:t>
      </w:r>
    </w:p>
    <w:p w:rsidR="00740EF6" w:rsidRDefault="00740EF6" w:rsidP="00740EF6">
      <w:pPr>
        <w:ind w:firstLine="360"/>
        <w:jc w:val="both"/>
      </w:pPr>
      <w:bookmarkStart w:id="0" w:name="_GoBack"/>
      <w:bookmarkEnd w:id="0"/>
    </w:p>
    <w:p w:rsidR="00740EF6" w:rsidRPr="00740EF6" w:rsidRDefault="00740EF6" w:rsidP="00740EF6">
      <w:pPr>
        <w:ind w:firstLine="360"/>
        <w:jc w:val="both"/>
      </w:pPr>
    </w:p>
    <w:p w:rsidR="00640015" w:rsidRPr="00061BDD" w:rsidRDefault="00E50F91" w:rsidP="00061BDD">
      <w:pPr>
        <w:jc w:val="both"/>
      </w:pPr>
      <w:r>
        <w:t>17.07</w:t>
      </w:r>
      <w:r w:rsidR="00640015" w:rsidRPr="00061BDD">
        <w:t>.2019 г.</w:t>
      </w:r>
      <w:r w:rsidR="00191F78" w:rsidRPr="00061BDD">
        <w:t xml:space="preserve">                                                     </w:t>
      </w:r>
      <w:r>
        <w:tab/>
      </w:r>
      <w:r>
        <w:tab/>
      </w:r>
      <w:r w:rsidR="00191F78" w:rsidRPr="00061BDD">
        <w:t xml:space="preserve"> Съставил:</w:t>
      </w:r>
    </w:p>
    <w:p w:rsidR="00061BDD" w:rsidRDefault="00640015" w:rsidP="005D5413">
      <w:pPr>
        <w:jc w:val="both"/>
        <w:rPr>
          <w:b/>
          <w:lang w:val="en-US"/>
        </w:rPr>
      </w:pPr>
      <w:r w:rsidRPr="00061BDD">
        <w:t>София</w:t>
      </w:r>
      <w:r w:rsidR="00191F78" w:rsidRPr="00061BDD">
        <w:t xml:space="preserve">                                                                                        В. Тивидошева</w:t>
      </w:r>
    </w:p>
    <w:sectPr w:rsidR="00061BDD" w:rsidSect="00D83B6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2C3A"/>
    <w:multiLevelType w:val="hybridMultilevel"/>
    <w:tmpl w:val="C7548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1A1"/>
    <w:multiLevelType w:val="hybridMultilevel"/>
    <w:tmpl w:val="2814D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116"/>
    <w:multiLevelType w:val="hybridMultilevel"/>
    <w:tmpl w:val="DBDC0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754E9"/>
    <w:multiLevelType w:val="hybridMultilevel"/>
    <w:tmpl w:val="1F70794A"/>
    <w:lvl w:ilvl="0" w:tplc="F9B4F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6F05"/>
    <w:multiLevelType w:val="hybridMultilevel"/>
    <w:tmpl w:val="1F58B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41EB"/>
    <w:multiLevelType w:val="hybridMultilevel"/>
    <w:tmpl w:val="84402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AE"/>
    <w:rsid w:val="00043410"/>
    <w:rsid w:val="00061BDD"/>
    <w:rsid w:val="000E3021"/>
    <w:rsid w:val="00133848"/>
    <w:rsid w:val="00191F78"/>
    <w:rsid w:val="001E2B61"/>
    <w:rsid w:val="00252B0F"/>
    <w:rsid w:val="002A3D21"/>
    <w:rsid w:val="002A50BD"/>
    <w:rsid w:val="002E27C3"/>
    <w:rsid w:val="00363666"/>
    <w:rsid w:val="0039251D"/>
    <w:rsid w:val="003F3476"/>
    <w:rsid w:val="004474C6"/>
    <w:rsid w:val="004E32CF"/>
    <w:rsid w:val="004F33A5"/>
    <w:rsid w:val="004F7383"/>
    <w:rsid w:val="0050548B"/>
    <w:rsid w:val="005435D0"/>
    <w:rsid w:val="0056540B"/>
    <w:rsid w:val="005B3897"/>
    <w:rsid w:val="005D5413"/>
    <w:rsid w:val="005E4E07"/>
    <w:rsid w:val="00640015"/>
    <w:rsid w:val="00642195"/>
    <w:rsid w:val="00690D77"/>
    <w:rsid w:val="00740EF6"/>
    <w:rsid w:val="00764813"/>
    <w:rsid w:val="007C5414"/>
    <w:rsid w:val="008512AE"/>
    <w:rsid w:val="009050FA"/>
    <w:rsid w:val="00996DA4"/>
    <w:rsid w:val="009B4BCD"/>
    <w:rsid w:val="00A8504E"/>
    <w:rsid w:val="00AD1478"/>
    <w:rsid w:val="00BA7D1B"/>
    <w:rsid w:val="00C40098"/>
    <w:rsid w:val="00D07399"/>
    <w:rsid w:val="00D83B60"/>
    <w:rsid w:val="00D90E4F"/>
    <w:rsid w:val="00DE51B2"/>
    <w:rsid w:val="00E22493"/>
    <w:rsid w:val="00E50F91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72134-A281-43B6-A4A1-205E7FC3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13"/>
    <w:pPr>
      <w:ind w:left="720"/>
      <w:contextualSpacing/>
    </w:pPr>
  </w:style>
  <w:style w:type="character" w:customStyle="1" w:styleId="st">
    <w:name w:val="st"/>
    <w:rsid w:val="00996DA4"/>
  </w:style>
  <w:style w:type="character" w:customStyle="1" w:styleId="2">
    <w:name w:val="Основен текст (2)_"/>
    <w:basedOn w:val="a0"/>
    <w:link w:val="20"/>
    <w:rsid w:val="005E4E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5E4E07"/>
    <w:pPr>
      <w:widowControl w:val="0"/>
      <w:shd w:val="clear" w:color="auto" w:fill="FFFFFF"/>
      <w:spacing w:before="420" w:after="30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E50F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FFD9-4BBC-41D4-B7E9-55176EB6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Tividosheva</dc:creator>
  <cp:lastModifiedBy>Ivan Kostov</cp:lastModifiedBy>
  <cp:revision>2</cp:revision>
  <dcterms:created xsi:type="dcterms:W3CDTF">2019-07-18T09:10:00Z</dcterms:created>
  <dcterms:modified xsi:type="dcterms:W3CDTF">2019-07-18T09:10:00Z</dcterms:modified>
</cp:coreProperties>
</file>